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64F" w:rsidRPr="0067064F" w:rsidRDefault="0067064F" w:rsidP="0067064F">
      <w:pPr>
        <w:tabs>
          <w:tab w:val="left" w:pos="3686"/>
          <w:tab w:val="left" w:pos="4111"/>
          <w:tab w:val="left" w:pos="4395"/>
        </w:tabs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Приложение к</w:t>
      </w:r>
    </w:p>
    <w:p w:rsidR="0067064F" w:rsidRPr="0067064F" w:rsidRDefault="0067064F" w:rsidP="0067064F">
      <w:pPr>
        <w:tabs>
          <w:tab w:val="left" w:pos="4395"/>
          <w:tab w:val="left" w:pos="6096"/>
        </w:tabs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 xml:space="preserve">совместному приказу </w:t>
      </w:r>
    </w:p>
    <w:p w:rsidR="0067064F" w:rsidRPr="0067064F" w:rsidRDefault="0067064F" w:rsidP="0067064F">
      <w:pPr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Министра финансов</w:t>
      </w:r>
    </w:p>
    <w:p w:rsidR="0067064F" w:rsidRPr="0067064F" w:rsidRDefault="0067064F" w:rsidP="0067064F">
      <w:pPr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от «___» _____ 2025 года №__</w:t>
      </w:r>
    </w:p>
    <w:p w:rsidR="0067064F" w:rsidRPr="0067064F" w:rsidRDefault="0067064F" w:rsidP="0067064F">
      <w:pPr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и</w:t>
      </w:r>
    </w:p>
    <w:p w:rsidR="0067064F" w:rsidRPr="0067064F" w:rsidRDefault="0067064F" w:rsidP="0067064F">
      <w:pPr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Председателя Национального Банка</w:t>
      </w:r>
    </w:p>
    <w:p w:rsidR="0067064F" w:rsidRPr="0067064F" w:rsidRDefault="0067064F" w:rsidP="0067064F">
      <w:pPr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spacing w:after="0" w:line="240" w:lineRule="auto"/>
        <w:ind w:firstLine="3969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от «___» _____ 2025 года №__</w:t>
      </w: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  <w:rPr>
          <w:bCs w:val="0"/>
        </w:rPr>
      </w:pPr>
      <w:r w:rsidRPr="0067064F">
        <w:t xml:space="preserve">Правила </w:t>
      </w:r>
      <w:r w:rsidRPr="0067064F">
        <w:br/>
      </w:r>
      <w:r w:rsidRPr="0067064F">
        <w:rPr>
          <w:bCs w:val="0"/>
        </w:rPr>
        <w:t>предоставления Национальным Банком Республики Казахстан Министерству финансов Республики Казахстан информации и сведений по валютным операциям</w:t>
      </w: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  <w:r w:rsidRPr="0067064F">
        <w:t xml:space="preserve"> </w:t>
      </w: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  <w:r w:rsidRPr="0067064F">
        <w:t>Глава 1. Общие положения</w:t>
      </w: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  <w:rPr>
          <w:rFonts w:eastAsiaTheme="minorHAnsi"/>
        </w:rPr>
      </w:pPr>
    </w:p>
    <w:p w:rsidR="0067064F" w:rsidRPr="0067064F" w:rsidRDefault="0067064F" w:rsidP="0067064F">
      <w:pPr>
        <w:tabs>
          <w:tab w:val="left" w:pos="142"/>
          <w:tab w:val="left" w:pos="851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 xml:space="preserve">1. Настоящие Правила </w:t>
      </w:r>
      <w:r w:rsidRPr="0067064F">
        <w:rPr>
          <w:sz w:val="28"/>
          <w:szCs w:val="28"/>
          <w:lang w:val="ru-RU"/>
        </w:rPr>
        <w:t>предоставления Национальным Банком Республики Казахстан Министерству финансов Республики Казахстан информации</w:t>
      </w:r>
      <w:r w:rsidRPr="0067064F">
        <w:rPr>
          <w:bCs/>
          <w:sz w:val="28"/>
          <w:szCs w:val="28"/>
          <w:lang w:val="ru-RU"/>
        </w:rPr>
        <w:t xml:space="preserve"> и сведений по валютным операциям (далее – Правила)</w:t>
      </w:r>
      <w:r w:rsidRPr="0067064F">
        <w:rPr>
          <w:rFonts w:eastAsiaTheme="minorHAnsi"/>
          <w:sz w:val="28"/>
          <w:szCs w:val="28"/>
          <w:lang w:val="ru-RU"/>
        </w:rPr>
        <w:t xml:space="preserve"> определяют порядок, формы и сроки предоставления Национальным Банком Республики Казахстан в Комитет государственных доходов Министерства финансов Республики Казахстан (далее – Комитет) следующих информации и сведений по валютным операциям:</w:t>
      </w:r>
    </w:p>
    <w:p w:rsidR="0067064F" w:rsidRPr="0067064F" w:rsidRDefault="0067064F" w:rsidP="0067064F">
      <w:pPr>
        <w:tabs>
          <w:tab w:val="left" w:pos="142"/>
          <w:tab w:val="left" w:pos="851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>1) полученную от уполномоченных банков информацию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50 000 долларов США в эквиваленте, проведенным через уполномоченные банки, по сделкам (контрактам), в том числе по бестоварным операциям;</w:t>
      </w:r>
    </w:p>
    <w:p w:rsidR="0067064F" w:rsidRPr="0067064F" w:rsidRDefault="0067064F" w:rsidP="0067064F">
      <w:pPr>
        <w:tabs>
          <w:tab w:val="left" w:pos="142"/>
          <w:tab w:val="left" w:pos="851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>2) 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Казахстан;</w:t>
      </w:r>
    </w:p>
    <w:p w:rsidR="0067064F" w:rsidRPr="0067064F" w:rsidRDefault="0067064F" w:rsidP="0067064F">
      <w:pPr>
        <w:tabs>
          <w:tab w:val="left" w:pos="142"/>
          <w:tab w:val="left" w:pos="851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 xml:space="preserve">3) сведения, полученные от </w:t>
      </w:r>
      <w:r w:rsidRPr="0067064F">
        <w:rPr>
          <w:color w:val="000000"/>
          <w:sz w:val="28"/>
          <w:szCs w:val="28"/>
          <w:lang w:val="ru-RU"/>
        </w:rPr>
        <w:t xml:space="preserve">Комитета Международного финансового центра «Астана» (далее – МФЦА) </w:t>
      </w:r>
      <w:r w:rsidRPr="0067064F">
        <w:rPr>
          <w:rFonts w:eastAsiaTheme="minorHAnsi"/>
          <w:sz w:val="28"/>
          <w:szCs w:val="28"/>
          <w:lang w:val="ru-RU"/>
        </w:rPr>
        <w:t>по регулированию финансовых услуг о проведенных участниками МФЦА валютных операциях на территории МФЦА.</w:t>
      </w:r>
    </w:p>
    <w:p w:rsidR="0067064F" w:rsidRPr="0067064F" w:rsidRDefault="0067064F" w:rsidP="0067064F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2. Представление сведений в рамках настоящих Правил осуществляется путем интеграции информационных систем. До интеграции информационных систем сведения могут представляться на бумажном носителе либо иным электронным способом.</w:t>
      </w:r>
    </w:p>
    <w:p w:rsidR="0067064F" w:rsidRPr="0067064F" w:rsidRDefault="0067064F" w:rsidP="0067064F">
      <w:pPr>
        <w:tabs>
          <w:tab w:val="left" w:pos="1134"/>
          <w:tab w:val="left" w:pos="1418"/>
        </w:tabs>
        <w:spacing w:after="0" w:line="240" w:lineRule="auto"/>
        <w:ind w:firstLine="709"/>
        <w:jc w:val="center"/>
        <w:rPr>
          <w:rFonts w:eastAsiaTheme="minorHAnsi"/>
          <w:b/>
          <w:bCs/>
          <w:sz w:val="28"/>
          <w:szCs w:val="28"/>
          <w:lang w:val="ru-RU"/>
        </w:rPr>
      </w:pPr>
      <w:r w:rsidRPr="0067064F">
        <w:rPr>
          <w:b/>
          <w:bCs/>
          <w:sz w:val="28"/>
          <w:szCs w:val="28"/>
          <w:lang w:val="ru-RU"/>
        </w:rPr>
        <w:lastRenderedPageBreak/>
        <w:t xml:space="preserve">Глава 2. Порядок и срок предоставления </w:t>
      </w:r>
      <w:r w:rsidRPr="0067064F">
        <w:rPr>
          <w:rFonts w:eastAsiaTheme="minorHAnsi"/>
          <w:b/>
          <w:bCs/>
          <w:sz w:val="28"/>
          <w:szCs w:val="28"/>
          <w:lang w:val="ru-RU"/>
        </w:rPr>
        <w:t>информации о платежах и (или) переводах денег из Республики Казахстан и в Республику Казахстан по валютным операциям на сумму от 50 000 долларов США в эквиваленте</w:t>
      </w: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</w:p>
    <w:p w:rsidR="0067064F" w:rsidRPr="0067064F" w:rsidRDefault="0067064F" w:rsidP="0067064F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 xml:space="preserve">3. Информация, полученная от уполномоченных банков, </w:t>
      </w:r>
      <w:r w:rsidRPr="0067064F">
        <w:rPr>
          <w:color w:val="000000"/>
          <w:sz w:val="28"/>
          <w:szCs w:val="28"/>
          <w:lang w:val="ru-RU"/>
        </w:rPr>
        <w:t xml:space="preserve">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50 000 долларов США в эквиваленте, проведенным через уполномоченные банки, по сделкам (контрактам), в том числе по бестоварным операциям </w:t>
      </w:r>
      <w:r w:rsidRPr="0067064F">
        <w:rPr>
          <w:rFonts w:eastAsiaTheme="minorHAnsi"/>
          <w:sz w:val="28"/>
          <w:szCs w:val="28"/>
          <w:lang w:val="ru-RU"/>
        </w:rPr>
        <w:t>предоставляется Национальным Банком Республики Казахстан  в Комитет ежемесячно до 20 числа включительно второго месяца, следующего за отчетным, в электронном виде по форме согласно приложению 1 к настоящим Правилам.</w:t>
      </w:r>
    </w:p>
    <w:p w:rsidR="0067064F" w:rsidRPr="0067064F" w:rsidRDefault="0067064F" w:rsidP="0067064F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142"/>
          <w:tab w:val="left" w:pos="1134"/>
        </w:tabs>
        <w:spacing w:after="0" w:line="240" w:lineRule="auto"/>
        <w:ind w:firstLine="709"/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67064F">
        <w:rPr>
          <w:b/>
          <w:bCs/>
          <w:color w:val="000000" w:themeColor="text1"/>
          <w:sz w:val="28"/>
          <w:szCs w:val="28"/>
          <w:lang w:val="ru-RU"/>
        </w:rPr>
        <w:t>Глава 3. Порядок и срок предоставления сведений</w:t>
      </w:r>
      <w:r w:rsidRPr="0067064F">
        <w:rPr>
          <w:rFonts w:eastAsiaTheme="minorHAnsi"/>
          <w:b/>
          <w:sz w:val="28"/>
          <w:szCs w:val="28"/>
          <w:lang w:val="ru-RU"/>
        </w:rPr>
        <w:t xml:space="preserve"> </w:t>
      </w:r>
      <w:r w:rsidRPr="0067064F">
        <w:rPr>
          <w:b/>
          <w:bCs/>
          <w:color w:val="000000" w:themeColor="text1"/>
          <w:sz w:val="28"/>
          <w:szCs w:val="28"/>
          <w:lang w:val="ru-RU"/>
        </w:rPr>
        <w:t>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</w:t>
      </w:r>
    </w:p>
    <w:p w:rsidR="0067064F" w:rsidRPr="0067064F" w:rsidRDefault="0067064F" w:rsidP="0067064F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b/>
          <w:bCs/>
          <w:color w:val="000000" w:themeColor="text1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 xml:space="preserve">4. Сведения </w:t>
      </w:r>
      <w:r w:rsidRPr="0067064F">
        <w:rPr>
          <w:color w:val="000000"/>
          <w:sz w:val="28"/>
          <w:szCs w:val="28"/>
          <w:lang w:val="ru-RU"/>
        </w:rPr>
        <w:t>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Казахстан,</w:t>
      </w:r>
      <w:r w:rsidRPr="0067064F">
        <w:rPr>
          <w:rFonts w:eastAsiaTheme="minorHAnsi"/>
          <w:sz w:val="28"/>
          <w:szCs w:val="28"/>
          <w:lang w:val="ru-RU"/>
        </w:rPr>
        <w:t xml:space="preserve"> представляются Национальным Банком Республики Казахстан в Комитет ежеквартально до 20 числа включительно второго месяца, следующего за отчетным, в электронном виде по форме согласно приложению 2 к настоящим Правилам.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036"/>
        </w:tabs>
        <w:spacing w:line="240" w:lineRule="auto"/>
        <w:jc w:val="both"/>
      </w:pPr>
    </w:p>
    <w:p w:rsidR="0067064F" w:rsidRPr="0067064F" w:rsidRDefault="0067064F" w:rsidP="0067064F">
      <w:pPr>
        <w:pStyle w:val="20"/>
        <w:shd w:val="clear" w:color="auto" w:fill="auto"/>
        <w:tabs>
          <w:tab w:val="left" w:pos="1036"/>
        </w:tabs>
        <w:spacing w:line="240" w:lineRule="auto"/>
        <w:jc w:val="both"/>
      </w:pP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  <w:r w:rsidRPr="0067064F">
        <w:t>Глава 4. Порядок и срок представления сведений,</w:t>
      </w:r>
      <w:r w:rsidRPr="0067064F">
        <w:rPr>
          <w:shd w:val="clear" w:color="auto" w:fill="FFFFFF"/>
          <w:lang w:eastAsia="ru-RU"/>
        </w:rPr>
        <w:t xml:space="preserve"> </w:t>
      </w:r>
      <w:r w:rsidRPr="0067064F">
        <w:t xml:space="preserve">полученных </w:t>
      </w: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</w:pPr>
      <w:r w:rsidRPr="0067064F">
        <w:t xml:space="preserve">от Комитета МФЦА по регулированию финансовых услуг о проведенных </w:t>
      </w:r>
    </w:p>
    <w:p w:rsidR="0067064F" w:rsidRPr="0067064F" w:rsidRDefault="0067064F" w:rsidP="0067064F">
      <w:pPr>
        <w:pStyle w:val="30"/>
        <w:shd w:val="clear" w:color="auto" w:fill="auto"/>
        <w:spacing w:before="0" w:line="240" w:lineRule="auto"/>
        <w:rPr>
          <w:shd w:val="clear" w:color="auto" w:fill="FFFFFF"/>
          <w:lang w:eastAsia="ru-RU"/>
        </w:rPr>
      </w:pPr>
      <w:r w:rsidRPr="0067064F">
        <w:t xml:space="preserve">участниками МФЦА валютных операциях на территории МФЦА </w:t>
      </w:r>
    </w:p>
    <w:p w:rsidR="0067064F" w:rsidRPr="0067064F" w:rsidRDefault="0067064F" w:rsidP="0067064F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>5. Национальный Банк представляет в Комитет сведения, полученные от Комитета МФЦА по регулированию финансовых услуг о проведенных участниками МФЦА валютных операциях на территории МФЦА, в виде данных</w:t>
      </w:r>
      <w:r w:rsidRPr="0067064F">
        <w:rPr>
          <w:sz w:val="28"/>
          <w:szCs w:val="28"/>
          <w:shd w:val="clear" w:color="auto" w:fill="FFFFFF"/>
          <w:lang w:val="ru-RU" w:eastAsia="ru-RU"/>
        </w:rPr>
        <w:t>:</w:t>
      </w:r>
    </w:p>
    <w:p w:rsidR="0067064F" w:rsidRPr="0067064F" w:rsidRDefault="0067064F" w:rsidP="0067064F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 xml:space="preserve">1) о проведенных платежах и (или) переводах денег по валютным операциям, в том числе по поручениям участников </w:t>
      </w:r>
      <w:r w:rsidRPr="0067064F">
        <w:rPr>
          <w:color w:val="000000"/>
          <w:sz w:val="28"/>
          <w:szCs w:val="28"/>
          <w:lang w:val="ru-RU"/>
        </w:rPr>
        <w:t>МФЦА</w:t>
      </w:r>
      <w:r w:rsidRPr="0067064F">
        <w:rPr>
          <w:rFonts w:eastAsiaTheme="minorHAnsi"/>
          <w:sz w:val="28"/>
          <w:szCs w:val="28"/>
          <w:lang w:val="ru-RU"/>
        </w:rPr>
        <w:t xml:space="preserve">, совершаемых на территории </w:t>
      </w:r>
      <w:r w:rsidRPr="0067064F">
        <w:rPr>
          <w:color w:val="000000"/>
          <w:sz w:val="28"/>
          <w:szCs w:val="28"/>
          <w:lang w:val="ru-RU"/>
        </w:rPr>
        <w:t>МФЦА</w:t>
      </w:r>
      <w:r w:rsidRPr="0067064F">
        <w:rPr>
          <w:rFonts w:eastAsiaTheme="minorHAnsi"/>
          <w:sz w:val="28"/>
          <w:szCs w:val="28"/>
          <w:lang w:val="ru-RU"/>
        </w:rPr>
        <w:t>, ежемесячно до 25 числа включительно месяца, следующего за отчетным, в электронном виде по форме согласно приложению 3 к настоящим Правилам;</w:t>
      </w:r>
    </w:p>
    <w:p w:rsidR="0067064F" w:rsidRPr="0067064F" w:rsidRDefault="0067064F" w:rsidP="0067064F">
      <w:pPr>
        <w:tabs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 xml:space="preserve">2) о движении денег на банковских счетах клиентов в иностранной валюте  ежемесячно до 25 числа включительно месяца, следующего за отчетным, в </w:t>
      </w:r>
      <w:r w:rsidRPr="0067064F">
        <w:rPr>
          <w:rFonts w:eastAsiaTheme="minorHAnsi"/>
          <w:sz w:val="28"/>
          <w:szCs w:val="28"/>
          <w:lang w:val="ru-RU"/>
        </w:rPr>
        <w:lastRenderedPageBreak/>
        <w:t xml:space="preserve">электронном виде по форме согласно приложению 2 к приложению 5 Правил валютного регулирования и предоставления сведений о проводимых валютных операциях в МФЦА, утвержденных совместным приказом </w:t>
      </w:r>
      <w:r w:rsidRPr="0067064F">
        <w:rPr>
          <w:color w:val="000000"/>
          <w:sz w:val="28"/>
          <w:szCs w:val="28"/>
          <w:lang w:val="ru-RU"/>
        </w:rPr>
        <w:t>Международного финансового центра «Астана»</w:t>
      </w:r>
      <w:r w:rsidRPr="0067064F">
        <w:rPr>
          <w:rFonts w:eastAsiaTheme="minorHAnsi"/>
          <w:sz w:val="28"/>
          <w:szCs w:val="28"/>
          <w:lang w:val="ru-RU"/>
        </w:rPr>
        <w:t xml:space="preserve"> и Национального Банка Республики Казахстан от 10 ноября 2021 года № 6 «Правила валютного регулирования и предоставления сведений о проводимых валютных операциях в </w:t>
      </w:r>
      <w:r w:rsidRPr="0067064F">
        <w:rPr>
          <w:color w:val="000000"/>
          <w:sz w:val="28"/>
          <w:szCs w:val="28"/>
          <w:lang w:val="ru-RU"/>
        </w:rPr>
        <w:t>Международном финансовом центре «Астана»»</w:t>
      </w:r>
      <w:r w:rsidRPr="0067064F">
        <w:rPr>
          <w:rFonts w:eastAsiaTheme="minorHAnsi"/>
          <w:sz w:val="28"/>
          <w:szCs w:val="28"/>
          <w:lang w:val="ru-RU"/>
        </w:rPr>
        <w:t xml:space="preserve"> (далее – Правила МФЦА);</w:t>
      </w:r>
    </w:p>
    <w:p w:rsidR="0067064F" w:rsidRPr="0067064F" w:rsidRDefault="0067064F" w:rsidP="0067064F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 xml:space="preserve">3) по операциям </w:t>
      </w:r>
      <w:r w:rsidRPr="0067064F">
        <w:rPr>
          <w:rStyle w:val="s1"/>
          <w:sz w:val="28"/>
          <w:szCs w:val="28"/>
          <w:lang w:val="ru-RU"/>
        </w:rPr>
        <w:t>клиентов-резидентов с ценными бумагами иностранных эмитентов, с ценными бумагами, эмитированными резидентами в соответствии с законодательством других государств и на их территории, и по операциям клиентов-нерезидентов с ценными бумагами, эмитированными резидентами Республики Казахстан</w:t>
      </w:r>
      <w:r w:rsidRPr="0067064F">
        <w:rPr>
          <w:rFonts w:eastAsiaTheme="minorHAnsi"/>
          <w:sz w:val="28"/>
          <w:szCs w:val="28"/>
          <w:lang w:val="ru-RU"/>
        </w:rPr>
        <w:t xml:space="preserve"> до 25 числа включительно месяца, следующего за отчетным кварталом, в электронном виде по форме согласно приложению 3 к приложению 5 Правил МФЦА;</w:t>
      </w:r>
    </w:p>
    <w:p w:rsidR="0067064F" w:rsidRPr="0067064F" w:rsidRDefault="0067064F" w:rsidP="0067064F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>4) по договорам, на основании и во исполнение которых осуществляются валютные операции движения капитала, ежемесячно до 25 числа включительно месяца, следующего за отчетным периодом, в электронном виде по форме согласно приложению 4 к приложению 5 Правил МФЦА;</w:t>
      </w:r>
    </w:p>
    <w:p w:rsidR="0067064F" w:rsidRPr="0067064F" w:rsidRDefault="0067064F" w:rsidP="0067064F">
      <w:pPr>
        <w:tabs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7064F">
        <w:rPr>
          <w:rFonts w:eastAsiaTheme="minorHAnsi"/>
          <w:sz w:val="28"/>
          <w:szCs w:val="28"/>
          <w:lang w:val="ru-RU"/>
        </w:rPr>
        <w:t>5) по объемам инвестиций участников МФЦА, оказывающих услуги управления инвестициями, до 25 числа включительно второго месяца, следующего за отчетным кварталом, в электронном виде по форме согласно приложению 6 к приложению 5 Правил МФЦА.</w:t>
      </w:r>
    </w:p>
    <w:p w:rsidR="0067064F" w:rsidRPr="0067064F" w:rsidRDefault="0067064F" w:rsidP="0067064F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1134"/>
        </w:tabs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67064F">
        <w:rPr>
          <w:rFonts w:eastAsiaTheme="minorHAnsi"/>
          <w:b/>
          <w:sz w:val="28"/>
          <w:szCs w:val="28"/>
          <w:lang w:val="ru-RU"/>
        </w:rPr>
        <w:t>Глава 5. Заключительное положение</w:t>
      </w:r>
    </w:p>
    <w:p w:rsidR="0067064F" w:rsidRPr="0067064F" w:rsidRDefault="0067064F" w:rsidP="0067064F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6. Органы государственных доходов и Национальный Банк Республики Казахстан в соответствии с законодательством Республики Казахстан соблюдают конфиденциальность информации и сведений, полученных в соответствии с настоящими Правилами.</w:t>
      </w:r>
    </w:p>
    <w:p w:rsidR="0067064F" w:rsidRPr="0067064F" w:rsidRDefault="0067064F" w:rsidP="0067064F">
      <w:pPr>
        <w:spacing w:line="240" w:lineRule="auto"/>
        <w:ind w:firstLine="709"/>
        <w:rPr>
          <w:sz w:val="28"/>
          <w:szCs w:val="28"/>
          <w:lang w:val="ru-RU"/>
        </w:rPr>
      </w:pPr>
    </w:p>
    <w:p w:rsidR="0067064F" w:rsidRPr="0067064F" w:rsidRDefault="0067064F" w:rsidP="0067064F">
      <w:pPr>
        <w:pStyle w:val="20"/>
        <w:shd w:val="clear" w:color="auto" w:fill="auto"/>
        <w:tabs>
          <w:tab w:val="left" w:pos="1036"/>
        </w:tabs>
        <w:spacing w:line="240" w:lineRule="auto"/>
        <w:ind w:left="993"/>
        <w:jc w:val="both"/>
        <w:sectPr w:rsidR="0067064F" w:rsidRPr="0067064F" w:rsidSect="0067064F">
          <w:headerReference w:type="default" r:id="rId6"/>
          <w:headerReference w:type="first" r:id="rId7"/>
          <w:pgSz w:w="11900" w:h="16840"/>
          <w:pgMar w:top="1418" w:right="851" w:bottom="1418" w:left="1418" w:header="0" w:footer="6" w:gutter="0"/>
          <w:pgNumType w:start="2"/>
          <w:cols w:space="720"/>
          <w:docGrid w:linePitch="360"/>
        </w:sectPr>
      </w:pP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lastRenderedPageBreak/>
        <w:t>Приложение 1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к Правилам предоставления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Национальным Банком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Министерству финансов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информации и сведений 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по валютным операциям </w:t>
      </w:r>
    </w:p>
    <w:p w:rsidR="0067064F" w:rsidRPr="0067064F" w:rsidRDefault="0067064F" w:rsidP="0067064F">
      <w:pPr>
        <w:spacing w:after="0" w:line="240" w:lineRule="auto"/>
        <w:ind w:left="4248"/>
        <w:jc w:val="both"/>
        <w:rPr>
          <w:color w:val="000000"/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6096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                             Форма</w:t>
      </w:r>
    </w:p>
    <w:p w:rsidR="0067064F" w:rsidRPr="0067064F" w:rsidRDefault="0067064F" w:rsidP="0067064F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67064F">
        <w:rPr>
          <w:b/>
          <w:color w:val="000000"/>
          <w:sz w:val="28"/>
          <w:szCs w:val="28"/>
          <w:lang w:val="ru-RU"/>
        </w:rPr>
        <w:t>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50 000 долларов США в эквиваленте, проведенным через уполномоченные банки, по сделкам (контрактам), в том числе по бестоварным операциям</w:t>
      </w:r>
    </w:p>
    <w:p w:rsidR="0067064F" w:rsidRPr="0067064F" w:rsidRDefault="0067064F" w:rsidP="0067064F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9820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3402"/>
        <w:gridCol w:w="709"/>
        <w:gridCol w:w="1314"/>
      </w:tblGrid>
      <w:tr w:rsidR="0067064F" w:rsidRPr="0067064F" w:rsidTr="009E679E">
        <w:trPr>
          <w:trHeight w:hRule="exact" w:val="369"/>
        </w:trPr>
        <w:tc>
          <w:tcPr>
            <w:tcW w:w="98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Отправитель денег</w:t>
            </w:r>
          </w:p>
        </w:tc>
      </w:tr>
      <w:tr w:rsidR="0067064F" w:rsidRPr="0067064F" w:rsidTr="009E679E">
        <w:trPr>
          <w:trHeight w:hRule="exact" w:val="45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after="120"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Признак</w:t>
            </w:r>
            <w:r w:rsidRPr="0067064F">
              <w:t xml:space="preserve"> </w:t>
            </w:r>
            <w:proofErr w:type="spellStart"/>
            <w:r w:rsidRPr="0067064F">
              <w:rPr>
                <w:rStyle w:val="211pt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Юридическое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лицо или физическое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pacing w:line="240" w:lineRule="auto"/>
              <w:jc w:val="center"/>
              <w:rPr>
                <w:rStyle w:val="211pt"/>
                <w:sz w:val="28"/>
                <w:szCs w:val="28"/>
              </w:rPr>
            </w:pPr>
            <w:r w:rsidRPr="0067064F">
              <w:rPr>
                <w:rStyle w:val="211pt"/>
                <w:sz w:val="28"/>
                <w:szCs w:val="28"/>
              </w:rPr>
              <w:t>Бизнес-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идентификационный номер (для юридического лица) или индивидуальный идентификационный номер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Наименование или фамилия, имя, отчество (при его наличии)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after="120"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Код</w:t>
            </w:r>
            <w:r w:rsidRPr="0067064F">
              <w:t xml:space="preserve"> </w:t>
            </w:r>
            <w:r w:rsidRPr="0067064F">
              <w:rPr>
                <w:rStyle w:val="211pt"/>
                <w:sz w:val="28"/>
                <w:szCs w:val="28"/>
              </w:rPr>
              <w:t>страны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Код сектора экономики</w:t>
            </w:r>
          </w:p>
        </w:tc>
      </w:tr>
      <w:tr w:rsidR="0067064F" w:rsidRPr="0067064F" w:rsidTr="009E679E">
        <w:trPr>
          <w:trHeight w:hRule="exact" w:val="4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6</w:t>
            </w:r>
          </w:p>
        </w:tc>
      </w:tr>
      <w:tr w:rsidR="0067064F" w:rsidRPr="0067064F" w:rsidTr="009E679E">
        <w:trPr>
          <w:trHeight w:hRule="exact" w:val="2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67064F" w:rsidRPr="0067064F" w:rsidRDefault="0067064F" w:rsidP="0067064F">
      <w:pPr>
        <w:pStyle w:val="a8"/>
        <w:shd w:val="clear" w:color="auto" w:fill="auto"/>
        <w:spacing w:line="240" w:lineRule="auto"/>
      </w:pPr>
    </w:p>
    <w:p w:rsidR="0067064F" w:rsidRPr="0067064F" w:rsidRDefault="0067064F" w:rsidP="0067064F">
      <w:pPr>
        <w:pStyle w:val="a8"/>
        <w:shd w:val="clear" w:color="auto" w:fill="auto"/>
        <w:spacing w:line="240" w:lineRule="auto"/>
      </w:pPr>
      <w:r w:rsidRPr="0067064F">
        <w:t>продолжение таблицы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5"/>
        <w:gridCol w:w="1417"/>
        <w:gridCol w:w="1985"/>
        <w:gridCol w:w="3118"/>
        <w:gridCol w:w="851"/>
        <w:gridCol w:w="1275"/>
      </w:tblGrid>
      <w:tr w:rsidR="0067064F" w:rsidRPr="0067064F" w:rsidTr="009E679E">
        <w:trPr>
          <w:trHeight w:hRule="exact" w:val="299"/>
        </w:trPr>
        <w:tc>
          <w:tcPr>
            <w:tcW w:w="9781" w:type="dxa"/>
            <w:gridSpan w:val="6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Бенефициар</w:t>
            </w:r>
          </w:p>
        </w:tc>
      </w:tr>
      <w:tr w:rsidR="0067064F" w:rsidRPr="0067064F" w:rsidTr="009E679E">
        <w:trPr>
          <w:trHeight w:hRule="exact" w:val="4442"/>
        </w:trPr>
        <w:tc>
          <w:tcPr>
            <w:tcW w:w="113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after="120"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lastRenderedPageBreak/>
              <w:t xml:space="preserve">Признак </w:t>
            </w:r>
            <w:proofErr w:type="spellStart"/>
            <w:r w:rsidRPr="0067064F">
              <w:rPr>
                <w:rStyle w:val="211pt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Юридическое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лицо или физическое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pacing w:line="240" w:lineRule="auto"/>
              <w:jc w:val="center"/>
              <w:rPr>
                <w:rStyle w:val="211pt"/>
                <w:sz w:val="28"/>
                <w:szCs w:val="28"/>
              </w:rPr>
            </w:pPr>
            <w:r w:rsidRPr="0067064F">
              <w:rPr>
                <w:rStyle w:val="211pt"/>
                <w:sz w:val="28"/>
                <w:szCs w:val="28"/>
              </w:rPr>
              <w:t>Бизнес-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идентификационный номер (для юридического лица) или индивидуальный идентификационный номер (для физического лица)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Наименование или фамилия, имя, отчество (при его наличии)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after="120"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Код</w:t>
            </w:r>
            <w:r w:rsidRPr="0067064F">
              <w:t xml:space="preserve"> </w:t>
            </w:r>
            <w:r w:rsidRPr="0067064F">
              <w:rPr>
                <w:rStyle w:val="211pt"/>
                <w:sz w:val="28"/>
                <w:szCs w:val="28"/>
              </w:rPr>
              <w:t>страны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Код сектора экономики</w:t>
            </w:r>
          </w:p>
        </w:tc>
      </w:tr>
      <w:tr w:rsidR="0067064F" w:rsidRPr="0067064F" w:rsidTr="009E679E">
        <w:trPr>
          <w:trHeight w:hRule="exact" w:val="445"/>
        </w:trPr>
        <w:tc>
          <w:tcPr>
            <w:tcW w:w="113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9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12</w:t>
            </w:r>
          </w:p>
        </w:tc>
      </w:tr>
      <w:tr w:rsidR="0067064F" w:rsidRPr="0067064F" w:rsidTr="009E679E">
        <w:trPr>
          <w:trHeight w:hRule="exact" w:val="302"/>
        </w:trPr>
        <w:tc>
          <w:tcPr>
            <w:tcW w:w="113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67064F" w:rsidRPr="0067064F" w:rsidRDefault="0067064F" w:rsidP="0067064F">
      <w:pPr>
        <w:pStyle w:val="a8"/>
        <w:shd w:val="clear" w:color="auto" w:fill="auto"/>
        <w:spacing w:line="240" w:lineRule="auto"/>
      </w:pPr>
    </w:p>
    <w:p w:rsidR="0067064F" w:rsidRPr="0067064F" w:rsidRDefault="0067064F" w:rsidP="0067064F">
      <w:pPr>
        <w:pStyle w:val="a8"/>
        <w:shd w:val="clear" w:color="auto" w:fill="auto"/>
        <w:spacing w:line="240" w:lineRule="auto"/>
      </w:pPr>
      <w:r w:rsidRPr="0067064F">
        <w:t>продолжение таблицы</w:t>
      </w:r>
    </w:p>
    <w:tbl>
      <w:tblPr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940"/>
        <w:gridCol w:w="1382"/>
        <w:gridCol w:w="1609"/>
        <w:gridCol w:w="1714"/>
        <w:gridCol w:w="1868"/>
      </w:tblGrid>
      <w:tr w:rsidR="0067064F" w:rsidRPr="0067064F" w:rsidTr="009E679E">
        <w:trPr>
          <w:trHeight w:hRule="exact" w:val="698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Платеж и (или) перевод денег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Код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назначения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платежа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(при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наличии)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Номер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валютного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договора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Дата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валютного договора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 xml:space="preserve">Учетный номер валютного договора </w:t>
            </w:r>
          </w:p>
        </w:tc>
      </w:tr>
      <w:tr w:rsidR="0067064F" w:rsidRPr="0067064F" w:rsidTr="009E679E">
        <w:trPr>
          <w:trHeight w:hRule="exact" w:val="115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Сумма в валюте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after="120"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Код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before="120"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валюты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67064F" w:rsidRPr="0067064F" w:rsidTr="009E679E">
        <w:trPr>
          <w:trHeight w:hRule="exact" w:val="29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19</w:t>
            </w:r>
          </w:p>
        </w:tc>
      </w:tr>
      <w:tr w:rsidR="0067064F" w:rsidRPr="0067064F" w:rsidTr="009E679E">
        <w:trPr>
          <w:trHeight w:hRule="exact" w:val="30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064F" w:rsidRPr="0067064F" w:rsidRDefault="0067064F" w:rsidP="009E679E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67064F" w:rsidRP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:rsid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lastRenderedPageBreak/>
        <w:t>Приложение к форме «Информация,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50 000 долларов США в эквиваленте, проведенным через уполномоченные банки, по сделкам (контрактам), в том числе по бестоварным операциям»</w:t>
      </w:r>
    </w:p>
    <w:p w:rsidR="0067064F" w:rsidRPr="0067064F" w:rsidRDefault="0067064F" w:rsidP="0067064F">
      <w:pPr>
        <w:spacing w:after="0" w:line="240" w:lineRule="auto"/>
        <w:jc w:val="right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67064F" w:rsidRPr="0067064F" w:rsidRDefault="0067064F" w:rsidP="0067064F">
      <w:pPr>
        <w:pStyle w:val="20"/>
        <w:shd w:val="clear" w:color="auto" w:fill="auto"/>
        <w:spacing w:line="240" w:lineRule="auto"/>
        <w:contextualSpacing/>
        <w:jc w:val="center"/>
      </w:pPr>
      <w:r w:rsidRPr="0067064F">
        <w:t>Пояснение по заполнению формы «Информация,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50 000 долларов США в эквиваленте, проведенным через уполномоченные банки, по сделкам (контрактам), в том числе по бестоварным операциям»</w:t>
      </w:r>
    </w:p>
    <w:p w:rsidR="0067064F" w:rsidRPr="0067064F" w:rsidRDefault="0067064F" w:rsidP="0067064F">
      <w:pPr>
        <w:pStyle w:val="20"/>
        <w:shd w:val="clear" w:color="auto" w:fill="auto"/>
        <w:spacing w:after="294" w:line="240" w:lineRule="auto"/>
        <w:contextualSpacing/>
        <w:jc w:val="center"/>
      </w:pP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contextualSpacing/>
        <w:jc w:val="both"/>
      </w:pPr>
      <w:r w:rsidRPr="0067064F">
        <w:t xml:space="preserve">1. В графах 1 и 7 формы указывается признак </w:t>
      </w:r>
      <w:proofErr w:type="spellStart"/>
      <w:r w:rsidRPr="0067064F">
        <w:t>резидентства</w:t>
      </w:r>
      <w:proofErr w:type="spellEnd"/>
      <w:r w:rsidRPr="0067064F">
        <w:t>, который определяется согласно Закону Республики Казахстан «О валютном регулировании и валютном контроле» и проставляется в следующем порядке:</w:t>
      </w:r>
    </w:p>
    <w:p w:rsidR="0067064F" w:rsidRPr="0067064F" w:rsidRDefault="0067064F" w:rsidP="0067064F">
      <w:pPr>
        <w:pStyle w:val="20"/>
        <w:shd w:val="clear" w:color="auto" w:fill="auto"/>
        <w:spacing w:line="240" w:lineRule="auto"/>
        <w:ind w:firstLine="709"/>
        <w:jc w:val="both"/>
      </w:pPr>
      <w:r w:rsidRPr="0067064F">
        <w:t xml:space="preserve">«1» </w:t>
      </w:r>
      <w:r w:rsidRPr="0067064F">
        <w:rPr>
          <w:rFonts w:eastAsiaTheme="minorHAnsi"/>
        </w:rPr>
        <w:t xml:space="preserve">– </w:t>
      </w:r>
      <w:r w:rsidRPr="0067064F">
        <w:t>резидент;</w:t>
      </w:r>
    </w:p>
    <w:p w:rsidR="0067064F" w:rsidRPr="0067064F" w:rsidRDefault="0067064F" w:rsidP="0067064F">
      <w:pPr>
        <w:pStyle w:val="20"/>
        <w:shd w:val="clear" w:color="auto" w:fill="auto"/>
        <w:spacing w:line="240" w:lineRule="auto"/>
        <w:ind w:firstLine="709"/>
        <w:jc w:val="both"/>
      </w:pPr>
      <w:r w:rsidRPr="0067064F">
        <w:t xml:space="preserve">«2» </w:t>
      </w:r>
      <w:r w:rsidRPr="0067064F">
        <w:rPr>
          <w:rFonts w:eastAsiaTheme="minorHAnsi"/>
        </w:rPr>
        <w:t xml:space="preserve">– </w:t>
      </w:r>
      <w:r w:rsidRPr="0067064F">
        <w:t>нерезидент.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>2. В графах 2 и 8 формы указывается признак «1», если отправитель денег или бенефициар является юридическим лицом (филиалом юридического лица), или признак «2», если отправитель денег или бенефициар является физическим лицом.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 xml:space="preserve">3. В графах 3 и 9 формы указываются реквизиты отправителя денег или бенефициара по валютным операциям. Для физического лица указывается индивидуальный идентификационный номер, для юридического лица – </w:t>
      </w:r>
      <w:r w:rsidRPr="0067064F">
        <w:br/>
        <w:t>бизнес- идентификационный номер.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>4. В графах 4 и 10 формы указываются фамилия, имя, отчество (</w:t>
      </w:r>
      <w:r w:rsidRPr="0067064F">
        <w:rPr>
          <w:rStyle w:val="211pt"/>
          <w:sz w:val="28"/>
          <w:szCs w:val="28"/>
        </w:rPr>
        <w:t>при его наличии</w:t>
      </w:r>
      <w:r w:rsidRPr="0067064F">
        <w:t>) либо наименование отправителя денег или бенефициара.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>5. В графах 5 и 11 формы указывается двухзначный код страны регистрации отправителя денег, бенефициара в соответствии с национальным классификатором Республики Казахстан НК РК ISO</w:t>
      </w:r>
      <w:r w:rsidRPr="0067064F">
        <w:rPr>
          <w:lang w:bidi="en-US"/>
        </w:rPr>
        <w:t xml:space="preserve"> </w:t>
      </w:r>
      <w:r w:rsidRPr="0067064F">
        <w:t xml:space="preserve">3166-1 «Коды для представления названий стран и единиц их административно-территориальных подразделений. Часть 1. Коды </w:t>
      </w:r>
      <w:r w:rsidRPr="0067064F">
        <w:lastRenderedPageBreak/>
        <w:t>стран».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 xml:space="preserve">6. Графы 6 и 12 формы заполняются в соответствии с Правилами применения кодов секторов экономики и назначения платежей, утвержденными постановлением Правления Национального Банка Республики Казахстан </w:t>
      </w:r>
      <w:r w:rsidRPr="0067064F">
        <w:br/>
        <w:t xml:space="preserve">от 31 августа 2016 года № 203 «Об утверждении Правил применения кодов секторов экономики и назначения платежей» (зарегистрировано в Реестре государственной регистрации нормативных правовых актов под № 14365) </w:t>
      </w:r>
      <w:r w:rsidRPr="0067064F">
        <w:br/>
        <w:t>(далее – Правила применения кодов секторов экономики и назначения платежей).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>7. В графе 13 формы указывается дата платежа и (или) перевода денег путем указания восьми цифр в следующем порядке: день, месяц, год.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>8. В графе 14 формы указывается сумма платежа и (или) перевода денег в единицах валюты путем указания их цифрами.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88"/>
        </w:tabs>
        <w:spacing w:line="240" w:lineRule="auto"/>
        <w:ind w:firstLine="709"/>
        <w:jc w:val="both"/>
      </w:pPr>
      <w:r w:rsidRPr="0067064F">
        <w:t>Если валюта платежа и (или) перевода денег отличается от доллара США, эквивалент суммы платежа и (или) перевода денег рассчитывается с использованием рыночного курса обмена валют на день проведения операции.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 xml:space="preserve">9. В графе 15 формы указывается трехзначный буквенный код валюты платежа (или) перевода денег в соответствии с национальным классификатором Республики Казахстан НК РК 07 </w:t>
      </w:r>
      <w:r w:rsidRPr="0067064F">
        <w:rPr>
          <w:lang w:bidi="en-US"/>
        </w:rPr>
        <w:t xml:space="preserve">ISO </w:t>
      </w:r>
      <w:r w:rsidRPr="0067064F">
        <w:t>4217 «Коды для представления валют и фондов».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80"/>
        </w:tabs>
        <w:spacing w:line="240" w:lineRule="auto"/>
        <w:ind w:firstLine="709"/>
        <w:jc w:val="both"/>
      </w:pPr>
      <w:r w:rsidRPr="0067064F">
        <w:t>10. В графе 16 формы указывается код назначения платежа и (или) перевода денег (при наличии), предусмотренный Правилами применения кодов секторов экономики и назначения платежей.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</w:pPr>
      <w:r w:rsidRPr="0067064F">
        <w:t>11. В графах 17 и 18 формы указываются номер и дата валютного договора, по которому проведен платеж и (или) перевод денег по валютным операциям.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</w:pPr>
      <w:r w:rsidRPr="0067064F">
        <w:t>12. В графе 19 формы указывается учетный номер валютного договора.</w:t>
      </w: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lastRenderedPageBreak/>
        <w:t xml:space="preserve">Приложение 2 к Правилам 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предоставления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Национальным Банком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Министерству финансов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информации и сведений 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по валютным операциям </w:t>
      </w:r>
    </w:p>
    <w:p w:rsidR="0067064F" w:rsidRPr="0067064F" w:rsidRDefault="0067064F" w:rsidP="0067064F">
      <w:pPr>
        <w:spacing w:after="0" w:line="240" w:lineRule="auto"/>
        <w:ind w:left="4248"/>
        <w:jc w:val="both"/>
        <w:rPr>
          <w:color w:val="000000"/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6096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                             Форма</w:t>
      </w:r>
    </w:p>
    <w:p w:rsidR="0067064F" w:rsidRPr="0067064F" w:rsidRDefault="0067064F" w:rsidP="0067064F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:rsidR="0067064F" w:rsidRPr="0067064F" w:rsidRDefault="0067064F" w:rsidP="0067064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64F">
        <w:rPr>
          <w:rFonts w:ascii="Times New Roman" w:hAnsi="Times New Roman" w:cs="Times New Roman"/>
          <w:b/>
          <w:sz w:val="28"/>
          <w:szCs w:val="28"/>
        </w:rPr>
        <w:t>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</w:t>
      </w:r>
    </w:p>
    <w:p w:rsidR="0067064F" w:rsidRPr="0067064F" w:rsidRDefault="0067064F" w:rsidP="0067064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1492"/>
        <w:gridCol w:w="1290"/>
        <w:gridCol w:w="1765"/>
        <w:gridCol w:w="1965"/>
        <w:gridCol w:w="3115"/>
      </w:tblGrid>
      <w:tr w:rsidR="0067064F" w:rsidRPr="0067064F" w:rsidTr="009E679E">
        <w:trPr>
          <w:trHeight w:val="50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Отчетный период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Учетный номер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Дата учетного номера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Наименование резидента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Бизнес-</w:t>
            </w:r>
          </w:p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 xml:space="preserve">идентификационный номер (для юридического лица резидента) или индивидуальный идентификационный номер (для физического лица резидента) </w:t>
            </w:r>
          </w:p>
        </w:tc>
      </w:tr>
      <w:tr w:rsidR="0067064F" w:rsidRPr="0067064F" w:rsidTr="009E679E">
        <w:trPr>
          <w:trHeight w:val="37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</w:tr>
      <w:tr w:rsidR="0067064F" w:rsidRPr="0067064F" w:rsidTr="009E679E">
        <w:trPr>
          <w:trHeight w:val="37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:rsidR="0067064F" w:rsidRPr="0067064F" w:rsidRDefault="0067064F" w:rsidP="0067064F">
      <w:pPr>
        <w:pStyle w:val="a8"/>
        <w:shd w:val="clear" w:color="auto" w:fill="auto"/>
        <w:spacing w:line="240" w:lineRule="auto"/>
      </w:pPr>
    </w:p>
    <w:p w:rsidR="0067064F" w:rsidRPr="0067064F" w:rsidRDefault="0067064F" w:rsidP="0067064F">
      <w:pPr>
        <w:pStyle w:val="a8"/>
        <w:shd w:val="clear" w:color="auto" w:fill="auto"/>
        <w:spacing w:line="240" w:lineRule="auto"/>
      </w:pPr>
      <w:r w:rsidRPr="0067064F">
        <w:t>продолжение таблицы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547"/>
        <w:gridCol w:w="1984"/>
        <w:gridCol w:w="2410"/>
        <w:gridCol w:w="2693"/>
      </w:tblGrid>
      <w:tr w:rsidR="0067064F" w:rsidRPr="0067064F" w:rsidTr="009E679E">
        <w:trPr>
          <w:trHeight w:val="51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Наименование нерезидента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Страна нерезидента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Срок договора (в месяцах)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Процентная ставка вознаграждения</w:t>
            </w:r>
          </w:p>
        </w:tc>
      </w:tr>
      <w:tr w:rsidR="0067064F" w:rsidRPr="0067064F" w:rsidTr="009E679E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</w:tr>
      <w:tr w:rsidR="0067064F" w:rsidRPr="0067064F" w:rsidTr="009E679E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:rsidR="0067064F" w:rsidRDefault="0067064F" w:rsidP="0067064F">
      <w:pPr>
        <w:spacing w:line="240" w:lineRule="auto"/>
        <w:ind w:hanging="284"/>
        <w:contextualSpacing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 xml:space="preserve">   </w:t>
      </w:r>
    </w:p>
    <w:p w:rsidR="0067064F" w:rsidRPr="0067064F" w:rsidRDefault="0067064F" w:rsidP="0067064F">
      <w:pPr>
        <w:spacing w:line="240" w:lineRule="auto"/>
        <w:contextualSpacing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продолжение таблицы</w:t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1387"/>
        <w:gridCol w:w="1337"/>
        <w:gridCol w:w="1502"/>
        <w:gridCol w:w="1439"/>
        <w:gridCol w:w="2123"/>
        <w:gridCol w:w="1839"/>
      </w:tblGrid>
      <w:tr w:rsidR="0067064F" w:rsidRPr="0067064F" w:rsidTr="009E679E">
        <w:trPr>
          <w:trHeight w:val="734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Сумма договора (в тыс. ед. валюты договора)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валюты договора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Категория дохода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Статус учетного номера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 xml:space="preserve">Сумма дохода нерезидента, подлежащего </w:t>
            </w:r>
            <w:proofErr w:type="spellStart"/>
            <w:r w:rsidRPr="0067064F">
              <w:rPr>
                <w:color w:val="000000"/>
                <w:sz w:val="28"/>
                <w:szCs w:val="28"/>
                <w:lang w:val="ru-RU"/>
              </w:rPr>
              <w:t>налого</w:t>
            </w:r>
            <w:proofErr w:type="spellEnd"/>
          </w:p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обложению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Примечание*</w:t>
            </w:r>
          </w:p>
        </w:tc>
      </w:tr>
      <w:tr w:rsidR="0067064F" w:rsidRPr="0067064F" w:rsidTr="009E679E">
        <w:trPr>
          <w:trHeight w:val="375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</w:tr>
      <w:tr w:rsidR="0067064F" w:rsidRPr="0067064F" w:rsidTr="009E679E">
        <w:trPr>
          <w:trHeight w:val="375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7064F" w:rsidRPr="0067064F" w:rsidRDefault="0067064F" w:rsidP="0067064F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lastRenderedPageBreak/>
        <w:t>Приложение к форме</w:t>
      </w:r>
    </w:p>
    <w:p w:rsidR="0067064F" w:rsidRPr="0067064F" w:rsidRDefault="0067064F" w:rsidP="0067064F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«Сведения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</w:t>
      </w:r>
    </w:p>
    <w:p w:rsidR="0067064F" w:rsidRPr="0067064F" w:rsidRDefault="0067064F" w:rsidP="0067064F">
      <w:pPr>
        <w:spacing w:after="0" w:line="240" w:lineRule="auto"/>
        <w:ind w:left="5103"/>
        <w:jc w:val="center"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Республики Казахстан»</w:t>
      </w:r>
    </w:p>
    <w:p w:rsidR="0067064F" w:rsidRPr="0067064F" w:rsidRDefault="0067064F" w:rsidP="0067064F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  <w:lang w:val="ru-RU"/>
        </w:rPr>
      </w:pPr>
    </w:p>
    <w:p w:rsidR="0067064F" w:rsidRPr="0067064F" w:rsidRDefault="0067064F" w:rsidP="0067064F">
      <w:pPr>
        <w:pStyle w:val="20"/>
        <w:shd w:val="clear" w:color="auto" w:fill="auto"/>
        <w:spacing w:after="294" w:line="240" w:lineRule="auto"/>
        <w:contextualSpacing/>
        <w:jc w:val="center"/>
      </w:pPr>
      <w:r w:rsidRPr="0067064F">
        <w:t>Пояснение по заполнению формы «Сведения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Казахстан»</w:t>
      </w:r>
    </w:p>
    <w:p w:rsidR="0067064F" w:rsidRPr="0067064F" w:rsidRDefault="0067064F" w:rsidP="0067064F">
      <w:pPr>
        <w:pStyle w:val="20"/>
        <w:shd w:val="clear" w:color="auto" w:fill="auto"/>
        <w:spacing w:after="294" w:line="240" w:lineRule="auto"/>
        <w:ind w:firstLine="709"/>
        <w:contextualSpacing/>
        <w:jc w:val="both"/>
        <w:rPr>
          <w:b/>
        </w:rPr>
      </w:pPr>
    </w:p>
    <w:p w:rsidR="0067064F" w:rsidRPr="0067064F" w:rsidRDefault="0067064F" w:rsidP="0067064F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</w:pPr>
      <w:r w:rsidRPr="0067064F">
        <w:t>1. В графе 1 формы указывается отчетный период.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</w:pPr>
      <w:r w:rsidRPr="0067064F">
        <w:t>2. В графе 2 формы указывается учетный номер валютного договора.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</w:pPr>
      <w:r w:rsidRPr="0067064F">
        <w:t>3. В графе 3 формы указывается дата учетного номера валютного договора.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>4. В графе 4 формы указываются фамилия, имя, отчество резидента (</w:t>
      </w:r>
      <w:r w:rsidRPr="0067064F">
        <w:rPr>
          <w:rStyle w:val="211pt"/>
          <w:sz w:val="28"/>
          <w:szCs w:val="28"/>
        </w:rPr>
        <w:t>если оно указано в документе, удостоверяющем личность</w:t>
      </w:r>
      <w:r w:rsidRPr="0067064F">
        <w:t>) отправителя или бенефициара денег.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>5. В графе 5 формы указываются реквизиты резидента отправителя денег или бенефициара по валютным операциям. Для физического лица указывается индивидуальный идентификационный номер, для юридического лица – бизнес-идентификационный номер.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>6. В графе 6 формы указываются фамилия, имя, отчество нерезидента (</w:t>
      </w:r>
      <w:r w:rsidRPr="0067064F">
        <w:rPr>
          <w:rStyle w:val="211pt"/>
          <w:sz w:val="28"/>
          <w:szCs w:val="28"/>
        </w:rPr>
        <w:t>при его наличии</w:t>
      </w:r>
      <w:r w:rsidRPr="0067064F">
        <w:t>) отправителя или бенефициара денег.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</w:pPr>
      <w:r w:rsidRPr="0067064F">
        <w:t>7. В графе 7 формы указывается двухзначный код страны регистрации нерезидента, в соответствии с национальным классификатором   Республики Казахстан НК РК ISO</w:t>
      </w:r>
      <w:r w:rsidRPr="0067064F">
        <w:rPr>
          <w:lang w:bidi="en-US"/>
        </w:rPr>
        <w:t xml:space="preserve"> </w:t>
      </w:r>
      <w:r w:rsidRPr="0067064F">
        <w:t>3166-1 «Коды для представления названий стран и единиц их административно-территориальных подразделений. Часть 1. Коды стран».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>8. В графе 8 формы указывается срок погашения (</w:t>
      </w:r>
      <w:r w:rsidRPr="0067064F">
        <w:rPr>
          <w:color w:val="000000"/>
        </w:rPr>
        <w:t>в месяцах</w:t>
      </w:r>
      <w:r w:rsidRPr="0067064F">
        <w:t>) по выданному займу.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>9. В графе 9 формы указывается процентная ставка вознаграждения по выданному займу.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 xml:space="preserve">10. В графе 10 формы указывается </w:t>
      </w:r>
      <w:r w:rsidRPr="0067064F">
        <w:rPr>
          <w:color w:val="000000"/>
        </w:rPr>
        <w:t>сумма в договоре (в тысячах единиц валюты договора)</w:t>
      </w:r>
      <w:r w:rsidRPr="0067064F">
        <w:t xml:space="preserve"> по выданному займу.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 xml:space="preserve">11. В графе 11 формы указывается трехзначный буквенный код валюты договора в соответствии с национальным классификатором Республики Казахстан НК РК 07 </w:t>
      </w:r>
      <w:r w:rsidRPr="0067064F">
        <w:rPr>
          <w:lang w:bidi="en-US"/>
        </w:rPr>
        <w:t xml:space="preserve">ISO </w:t>
      </w:r>
      <w:r w:rsidRPr="0067064F">
        <w:t>4217 «Коды для представления валют и фондов».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 xml:space="preserve">12. В графе 12 формы указывается </w:t>
      </w:r>
      <w:r w:rsidRPr="0067064F">
        <w:rPr>
          <w:color w:val="000000"/>
        </w:rPr>
        <w:t>категория дохода в соответствии с</w:t>
      </w:r>
      <w:r w:rsidRPr="0067064F">
        <w:t xml:space="preserve"> подпунктом 39) пункта 1 статьи 679 Налогового кодекса Республики Казахстан:</w:t>
      </w:r>
    </w:p>
    <w:p w:rsidR="0067064F" w:rsidRPr="0067064F" w:rsidRDefault="0067064F" w:rsidP="0067064F">
      <w:pPr>
        <w:pStyle w:val="20"/>
        <w:tabs>
          <w:tab w:val="left" w:pos="1144"/>
        </w:tabs>
        <w:spacing w:line="240" w:lineRule="auto"/>
        <w:ind w:firstLine="709"/>
        <w:jc w:val="both"/>
      </w:pPr>
      <w:r w:rsidRPr="0067064F">
        <w:t xml:space="preserve">«1» – доходы в виде полученного финансового займа (за исключением банковского займа) в размере непогашенного или частично непогашенного основного долга в сроки, установленные условиями финансового займа, срок </w:t>
      </w:r>
      <w:r w:rsidRPr="0067064F">
        <w:lastRenderedPageBreak/>
        <w:t>погашения которого не более двадцати четырех месяцев;</w:t>
      </w:r>
    </w:p>
    <w:p w:rsidR="0067064F" w:rsidRPr="0067064F" w:rsidRDefault="0067064F" w:rsidP="0067064F">
      <w:pPr>
        <w:pStyle w:val="20"/>
        <w:tabs>
          <w:tab w:val="left" w:pos="1144"/>
        </w:tabs>
        <w:spacing w:line="240" w:lineRule="auto"/>
        <w:ind w:firstLine="709"/>
        <w:jc w:val="both"/>
      </w:pPr>
      <w:r w:rsidRPr="0067064F">
        <w:t>«2» – доходы в виде полученного финансового займа (за исключением банковского займа) в размере непогашенного или частично непогашенного основного долга в сроки, установленные условиями финансового займа, срок погашения которого более двадцати четырех месяцев, но не более шестидесяти месяцев;</w:t>
      </w:r>
    </w:p>
    <w:p w:rsidR="0067064F" w:rsidRPr="0067064F" w:rsidRDefault="0067064F" w:rsidP="0067064F">
      <w:pPr>
        <w:pStyle w:val="20"/>
        <w:tabs>
          <w:tab w:val="left" w:pos="1144"/>
        </w:tabs>
        <w:spacing w:line="240" w:lineRule="auto"/>
        <w:ind w:firstLine="709"/>
        <w:jc w:val="both"/>
      </w:pPr>
      <w:r w:rsidRPr="0067064F">
        <w:t>«3» – доходы в виде полученного финансового займа (за исключением банковского займа) в размере основного долга, срок погашения которого более шестидесяти месяцев;</w:t>
      </w:r>
    </w:p>
    <w:p w:rsidR="0067064F" w:rsidRPr="0067064F" w:rsidRDefault="0067064F" w:rsidP="0067064F">
      <w:pPr>
        <w:pStyle w:val="20"/>
        <w:tabs>
          <w:tab w:val="left" w:pos="1144"/>
        </w:tabs>
        <w:spacing w:line="240" w:lineRule="auto"/>
        <w:ind w:firstLine="709"/>
        <w:jc w:val="both"/>
      </w:pPr>
      <w:r w:rsidRPr="0067064F">
        <w:t>«4» – доходы в виде платежей, осуществляемых резидентом в целях погашения финансового займа (за исключением банковского займа), полученного им и зачисленного на счет в иностранном банке, находящемся за пределами Республики Казахстан;</w:t>
      </w:r>
    </w:p>
    <w:p w:rsidR="0067064F" w:rsidRPr="0067064F" w:rsidRDefault="0067064F" w:rsidP="0067064F">
      <w:pPr>
        <w:pStyle w:val="20"/>
        <w:tabs>
          <w:tab w:val="left" w:pos="1144"/>
        </w:tabs>
        <w:spacing w:line="240" w:lineRule="auto"/>
        <w:ind w:firstLine="709"/>
        <w:jc w:val="both"/>
      </w:pPr>
      <w:r w:rsidRPr="0067064F">
        <w:t>«5» – доходы в виде платежей, осуществляемых в целях предоставления нерезиденту финансового займа (за исключением банковского займа), по условиям которого погашение такого займа будет осуществлено на счет в иностранном банке, находящемся за пределами Республики Казахстан;</w:t>
      </w:r>
    </w:p>
    <w:p w:rsidR="0067064F" w:rsidRPr="0067064F" w:rsidRDefault="0067064F" w:rsidP="0067064F">
      <w:pPr>
        <w:pStyle w:val="20"/>
        <w:tabs>
          <w:tab w:val="left" w:pos="1144"/>
        </w:tabs>
        <w:spacing w:line="240" w:lineRule="auto"/>
        <w:ind w:firstLine="709"/>
        <w:jc w:val="both"/>
      </w:pPr>
      <w:r w:rsidRPr="0067064F">
        <w:t xml:space="preserve">«6» – доходы в виде суммы, исчисляемой путем умножения среднерыночной ставки на сумму платежа по выдаче финансового займа (за исключением банковского займа), предоставляемого резидентом </w:t>
      </w:r>
      <w:proofErr w:type="spellStart"/>
      <w:r w:rsidRPr="0067064F">
        <w:t>неаффилированному</w:t>
      </w:r>
      <w:proofErr w:type="spellEnd"/>
      <w:r w:rsidRPr="0067064F">
        <w:t xml:space="preserve"> нерезиденту, по условиям которого не предусмотрена выплата вознаграждения за пользование займом.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>13. В графе 13 формы указывается статус учетного номера контракта.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>14. В графе 14 формы указывается сумма дохода нерезидента, подлежащего налогообложению в соответствии с подпунктом 39) пункта 1 статьи 679 Налогового кодекса Республики Казахстан;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</w:pPr>
      <w:r w:rsidRPr="0067064F">
        <w:t>15. В графе 15 формы указывается дополнительный состав передаваемых данных, определяемый по согласованию Национальным Банком и Комитетом.</w:t>
      </w: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rPr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lastRenderedPageBreak/>
        <w:t xml:space="preserve">Приложение 3 к Правилам 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предоставления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Национальным Банком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Министерству финансов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Республики Казахстан</w:t>
      </w:r>
    </w:p>
    <w:p w:rsidR="0067064F" w:rsidRPr="0067064F" w:rsidRDefault="0067064F" w:rsidP="0067064F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информации и сведений </w:t>
      </w:r>
    </w:p>
    <w:p w:rsidR="0067064F" w:rsidRPr="0067064F" w:rsidRDefault="0067064F" w:rsidP="0067064F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>по валютным операциям</w:t>
      </w:r>
    </w:p>
    <w:p w:rsidR="0067064F" w:rsidRPr="0067064F" w:rsidRDefault="0067064F" w:rsidP="0067064F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4248"/>
        <w:jc w:val="both"/>
        <w:rPr>
          <w:color w:val="000000"/>
          <w:sz w:val="28"/>
          <w:szCs w:val="28"/>
          <w:lang w:val="ru-RU"/>
        </w:rPr>
      </w:pPr>
    </w:p>
    <w:p w:rsidR="0067064F" w:rsidRPr="0067064F" w:rsidRDefault="0067064F" w:rsidP="0067064F">
      <w:pPr>
        <w:spacing w:after="0" w:line="240" w:lineRule="auto"/>
        <w:ind w:left="6096"/>
        <w:jc w:val="center"/>
        <w:rPr>
          <w:color w:val="000000"/>
          <w:sz w:val="28"/>
          <w:szCs w:val="28"/>
          <w:lang w:val="ru-RU"/>
        </w:rPr>
      </w:pPr>
      <w:r w:rsidRPr="0067064F">
        <w:rPr>
          <w:color w:val="000000"/>
          <w:sz w:val="28"/>
          <w:szCs w:val="28"/>
          <w:lang w:val="ru-RU"/>
        </w:rPr>
        <w:t xml:space="preserve">                             Форма</w:t>
      </w:r>
    </w:p>
    <w:p w:rsidR="0067064F" w:rsidRPr="0067064F" w:rsidRDefault="0067064F" w:rsidP="0067064F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:rsidR="0067064F" w:rsidRPr="0067064F" w:rsidRDefault="0067064F" w:rsidP="0067064F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:rsidR="0067064F" w:rsidRPr="0067064F" w:rsidRDefault="0067064F" w:rsidP="0067064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64F">
        <w:rPr>
          <w:rFonts w:ascii="Times New Roman" w:hAnsi="Times New Roman" w:cs="Times New Roman"/>
          <w:b/>
          <w:sz w:val="28"/>
          <w:szCs w:val="28"/>
        </w:rPr>
        <w:t>Сведения о проведенных платежах и (или) переводах денег по валютным операциям, в том числе по поручениям участников МФЦА, совершаемых на территории МФЦА</w:t>
      </w:r>
    </w:p>
    <w:p w:rsidR="0067064F" w:rsidRPr="0067064F" w:rsidRDefault="0067064F" w:rsidP="0067064F">
      <w:pPr>
        <w:pStyle w:val="20"/>
        <w:shd w:val="clear" w:color="auto" w:fill="auto"/>
        <w:tabs>
          <w:tab w:val="left" w:leader="underscore" w:pos="4782"/>
          <w:tab w:val="left" w:leader="underscore" w:pos="6118"/>
        </w:tabs>
        <w:spacing w:line="240" w:lineRule="auto"/>
        <w:jc w:val="both"/>
      </w:pPr>
    </w:p>
    <w:tbl>
      <w:tblPr>
        <w:tblW w:w="4994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528"/>
        <w:gridCol w:w="1974"/>
        <w:gridCol w:w="2898"/>
        <w:gridCol w:w="974"/>
        <w:gridCol w:w="1362"/>
      </w:tblGrid>
      <w:tr w:rsidR="0067064F" w:rsidRPr="0067064F" w:rsidTr="009E679E">
        <w:trPr>
          <w:trHeight w:hRule="exact" w:val="300"/>
        </w:trPr>
        <w:tc>
          <w:tcPr>
            <w:tcW w:w="5000" w:type="pct"/>
            <w:gridSpan w:val="6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Отправитель денег</w:t>
            </w:r>
          </w:p>
        </w:tc>
      </w:tr>
      <w:tr w:rsidR="0067064F" w:rsidRPr="0067064F" w:rsidTr="009E679E">
        <w:trPr>
          <w:trHeight w:hRule="exact" w:val="4430"/>
        </w:trPr>
        <w:tc>
          <w:tcPr>
            <w:tcW w:w="58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 xml:space="preserve">Признак </w:t>
            </w:r>
            <w:proofErr w:type="spellStart"/>
            <w:r w:rsidRPr="0067064F">
              <w:rPr>
                <w:color w:val="000000"/>
                <w:sz w:val="28"/>
                <w:szCs w:val="28"/>
                <w:lang w:val="ru-RU"/>
              </w:rPr>
              <w:t>резидентства</w:t>
            </w:r>
            <w:proofErr w:type="spellEnd"/>
          </w:p>
        </w:tc>
        <w:tc>
          <w:tcPr>
            <w:tcW w:w="772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Юридическое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лицо или физическое</w:t>
            </w:r>
          </w:p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99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pStyle w:val="20"/>
              <w:spacing w:line="240" w:lineRule="auto"/>
              <w:jc w:val="center"/>
              <w:rPr>
                <w:rStyle w:val="211pt"/>
                <w:sz w:val="28"/>
                <w:szCs w:val="28"/>
              </w:rPr>
            </w:pPr>
            <w:r w:rsidRPr="0067064F">
              <w:rPr>
                <w:rStyle w:val="211pt"/>
                <w:sz w:val="28"/>
                <w:szCs w:val="28"/>
              </w:rPr>
              <w:t>Бизнес-</w:t>
            </w:r>
          </w:p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rStyle w:val="211pt"/>
                <w:sz w:val="28"/>
                <w:szCs w:val="28"/>
              </w:rPr>
              <w:t>идентификационный номер (для юридического лица) или индивидуальный идентификационный номер (для физического лица)</w:t>
            </w:r>
          </w:p>
        </w:tc>
        <w:tc>
          <w:tcPr>
            <w:tcW w:w="1464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Наименование или фамилия, имя, отчество (при его наличии)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страны</w:t>
            </w:r>
          </w:p>
        </w:tc>
        <w:tc>
          <w:tcPr>
            <w:tcW w:w="68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сектора экономики</w:t>
            </w:r>
          </w:p>
        </w:tc>
      </w:tr>
      <w:tr w:rsidR="0067064F" w:rsidRPr="0067064F" w:rsidTr="009E679E">
        <w:trPr>
          <w:trHeight w:hRule="exact" w:val="300"/>
        </w:trPr>
        <w:tc>
          <w:tcPr>
            <w:tcW w:w="58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99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464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68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</w:tr>
      <w:tr w:rsidR="0067064F" w:rsidRPr="0067064F" w:rsidTr="009E679E">
        <w:trPr>
          <w:trHeight w:hRule="exact" w:val="375"/>
        </w:trPr>
        <w:tc>
          <w:tcPr>
            <w:tcW w:w="58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772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99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64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492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687" w:type="pct"/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:rsidR="0067064F" w:rsidRPr="0067064F" w:rsidRDefault="0067064F" w:rsidP="0067064F">
      <w:pPr>
        <w:spacing w:line="240" w:lineRule="auto"/>
        <w:contextualSpacing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contextualSpacing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продолжение таблицы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485"/>
        <w:gridCol w:w="1634"/>
        <w:gridCol w:w="3098"/>
        <w:gridCol w:w="947"/>
        <w:gridCol w:w="1334"/>
      </w:tblGrid>
      <w:tr w:rsidR="0067064F" w:rsidRPr="0067064F" w:rsidTr="009E679E">
        <w:trPr>
          <w:trHeight w:val="300"/>
        </w:trPr>
        <w:tc>
          <w:tcPr>
            <w:tcW w:w="9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Бенефициар</w:t>
            </w:r>
          </w:p>
        </w:tc>
      </w:tr>
      <w:tr w:rsidR="0067064F" w:rsidRPr="0067064F" w:rsidTr="009E679E">
        <w:trPr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 xml:space="preserve">Признак </w:t>
            </w:r>
            <w:proofErr w:type="spellStart"/>
            <w:r w:rsidRPr="0067064F">
              <w:rPr>
                <w:color w:val="000000"/>
                <w:sz w:val="28"/>
                <w:szCs w:val="28"/>
                <w:lang w:val="ru-RU"/>
              </w:rPr>
              <w:t>резидентства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Юридическое</w:t>
            </w:r>
          </w:p>
          <w:p w:rsidR="0067064F" w:rsidRPr="0067064F" w:rsidRDefault="0067064F" w:rsidP="009E679E">
            <w:pPr>
              <w:pStyle w:val="20"/>
              <w:shd w:val="clear" w:color="auto" w:fill="auto"/>
              <w:spacing w:line="240" w:lineRule="auto"/>
              <w:jc w:val="center"/>
            </w:pPr>
            <w:r w:rsidRPr="0067064F">
              <w:rPr>
                <w:rStyle w:val="211pt"/>
                <w:sz w:val="28"/>
                <w:szCs w:val="28"/>
              </w:rPr>
              <w:t>лицо или физическое</w:t>
            </w:r>
          </w:p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pStyle w:val="20"/>
              <w:spacing w:line="240" w:lineRule="auto"/>
              <w:jc w:val="center"/>
              <w:rPr>
                <w:rStyle w:val="211pt"/>
                <w:sz w:val="28"/>
                <w:szCs w:val="28"/>
              </w:rPr>
            </w:pPr>
            <w:r w:rsidRPr="0067064F">
              <w:rPr>
                <w:rStyle w:val="211pt"/>
                <w:sz w:val="28"/>
                <w:szCs w:val="28"/>
              </w:rPr>
              <w:t>Бизнес-</w:t>
            </w:r>
          </w:p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rStyle w:val="211pt"/>
                <w:sz w:val="28"/>
                <w:szCs w:val="28"/>
              </w:rPr>
              <w:t xml:space="preserve">идентификационный номер (для юридического лица) </w:t>
            </w:r>
            <w:r w:rsidRPr="0067064F">
              <w:rPr>
                <w:rStyle w:val="211pt"/>
                <w:sz w:val="28"/>
                <w:szCs w:val="28"/>
              </w:rPr>
              <w:lastRenderedPageBreak/>
              <w:t>или индивидуальный идентификационный номер (для физического лица)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lastRenderedPageBreak/>
              <w:t>Наименование или фамилия, имя, отчество (при его наличии)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страны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сектора экономики</w:t>
            </w:r>
          </w:p>
        </w:tc>
      </w:tr>
      <w:tr w:rsidR="0067064F" w:rsidRPr="0067064F" w:rsidTr="009E679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  <w:tr w:rsidR="0067064F" w:rsidRPr="0067064F" w:rsidTr="009E679E">
        <w:trPr>
          <w:trHeight w:val="3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:rsidR="0067064F" w:rsidRPr="0067064F" w:rsidRDefault="0067064F" w:rsidP="0067064F">
      <w:pPr>
        <w:spacing w:line="240" w:lineRule="auto"/>
        <w:contextualSpacing/>
        <w:rPr>
          <w:sz w:val="28"/>
          <w:szCs w:val="28"/>
          <w:lang w:val="ru-RU"/>
        </w:rPr>
      </w:pPr>
    </w:p>
    <w:p w:rsidR="0067064F" w:rsidRPr="0067064F" w:rsidRDefault="0067064F" w:rsidP="0067064F">
      <w:pPr>
        <w:spacing w:line="240" w:lineRule="auto"/>
        <w:contextualSpacing/>
        <w:rPr>
          <w:sz w:val="28"/>
          <w:szCs w:val="28"/>
          <w:lang w:val="ru-RU"/>
        </w:rPr>
      </w:pPr>
      <w:r w:rsidRPr="0067064F">
        <w:rPr>
          <w:sz w:val="28"/>
          <w:szCs w:val="28"/>
          <w:lang w:val="ru-RU"/>
        </w:rPr>
        <w:t>продолжение таблицы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01"/>
        <w:gridCol w:w="1524"/>
        <w:gridCol w:w="1314"/>
        <w:gridCol w:w="2044"/>
        <w:gridCol w:w="2044"/>
        <w:gridCol w:w="2184"/>
      </w:tblGrid>
      <w:tr w:rsidR="0067064F" w:rsidRPr="0067064F" w:rsidTr="009E679E">
        <w:trPr>
          <w:trHeight w:hRule="exact" w:val="785"/>
        </w:trPr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Платеж и (или) перевод денег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назначения платежа (</w:t>
            </w:r>
            <w:r w:rsidRPr="0067064F">
              <w:rPr>
                <w:sz w:val="28"/>
                <w:szCs w:val="28"/>
                <w:lang w:val="ru-RU"/>
              </w:rPr>
              <w:t>при наличии)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strike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валютной операции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strike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Признак операции, связанной с выводом денег</w:t>
            </w:r>
          </w:p>
        </w:tc>
      </w:tr>
      <w:tr w:rsidR="0067064F" w:rsidRPr="0067064F" w:rsidTr="009E679E">
        <w:trPr>
          <w:trHeight w:hRule="exact" w:val="979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Сумма в валюте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Код валюты</w:t>
            </w: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strike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strike/>
                <w:color w:val="000000"/>
                <w:sz w:val="28"/>
                <w:szCs w:val="28"/>
                <w:lang w:val="ru-RU"/>
              </w:rPr>
            </w:pPr>
          </w:p>
        </w:tc>
      </w:tr>
      <w:tr w:rsidR="0067064F" w:rsidRPr="0067064F" w:rsidTr="009E679E">
        <w:trPr>
          <w:trHeight w:hRule="exact" w:val="30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18</w:t>
            </w:r>
          </w:p>
        </w:tc>
      </w:tr>
      <w:tr w:rsidR="0067064F" w:rsidRPr="0067064F" w:rsidTr="009E679E">
        <w:trPr>
          <w:trHeight w:hRule="exact" w:val="30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7064F" w:rsidRPr="0067064F" w:rsidRDefault="0067064F" w:rsidP="0067064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6"/>
        <w:gridCol w:w="2108"/>
        <w:gridCol w:w="1542"/>
        <w:gridCol w:w="1943"/>
        <w:gridCol w:w="1542"/>
      </w:tblGrid>
      <w:tr w:rsidR="0067064F" w:rsidRPr="0067064F" w:rsidTr="009E679E">
        <w:trPr>
          <w:trHeight w:hRule="exact" w:val="162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strike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Идентификационный код организации (банка) контрагента по валютной операции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strike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Наименование организации (банка) контрагента по валютной операции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 xml:space="preserve">Номер валютного договора 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Дата валютного договора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 xml:space="preserve">Учетный номер валютного договора </w:t>
            </w:r>
          </w:p>
        </w:tc>
      </w:tr>
      <w:tr w:rsidR="0067064F" w:rsidRPr="0067064F" w:rsidTr="009E679E">
        <w:trPr>
          <w:trHeight w:hRule="exact" w:val="2258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strike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strike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64F" w:rsidRPr="0067064F" w:rsidRDefault="0067064F" w:rsidP="009E679E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7064F" w:rsidRPr="0067064F" w:rsidTr="009E679E">
        <w:trPr>
          <w:trHeight w:hRule="exact"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strike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strike/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7064F">
              <w:rPr>
                <w:color w:val="000000"/>
                <w:sz w:val="28"/>
                <w:szCs w:val="28"/>
                <w:lang w:val="ru-RU"/>
              </w:rPr>
              <w:t>23</w:t>
            </w:r>
          </w:p>
        </w:tc>
      </w:tr>
      <w:tr w:rsidR="0067064F" w:rsidRPr="0067064F" w:rsidTr="009E679E">
        <w:trPr>
          <w:trHeight w:hRule="exact"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64F" w:rsidRPr="0067064F" w:rsidRDefault="0067064F" w:rsidP="009E679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064F" w:rsidRPr="0067064F" w:rsidRDefault="0067064F" w:rsidP="0067064F">
      <w:pPr>
        <w:pStyle w:val="a9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064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к форме</w:t>
      </w:r>
    </w:p>
    <w:p w:rsidR="0067064F" w:rsidRPr="0067064F" w:rsidRDefault="0067064F" w:rsidP="0067064F">
      <w:pPr>
        <w:pStyle w:val="a9"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064F">
        <w:rPr>
          <w:rFonts w:ascii="Times New Roman" w:hAnsi="Times New Roman" w:cs="Times New Roman"/>
          <w:color w:val="000000" w:themeColor="text1"/>
          <w:sz w:val="28"/>
          <w:szCs w:val="28"/>
        </w:rPr>
        <w:t>«Сведения о проведенных платежах и (или) переводах денег по валютным операциям, в том числе по поручениям участников МФЦА, совершаемых на территории МФЦА»</w:t>
      </w:r>
    </w:p>
    <w:p w:rsidR="0067064F" w:rsidRPr="0067064F" w:rsidRDefault="0067064F" w:rsidP="0067064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64F" w:rsidRPr="0067064F" w:rsidRDefault="0067064F" w:rsidP="0067064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64F" w:rsidRPr="0067064F" w:rsidRDefault="0067064F" w:rsidP="0067064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Пояснение по заполнению формы «Сведения о проведенных платежах и (или) переводах денег по валютным операциям, в том числе по поручениям участников МФЦА, совершаемых на территории МФЦА»</w:t>
      </w:r>
    </w:p>
    <w:p w:rsidR="0067064F" w:rsidRPr="0067064F" w:rsidRDefault="0067064F" w:rsidP="0067064F">
      <w:pPr>
        <w:pStyle w:val="a9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1. В графах 1 и 7 формы указывается признак </w:t>
      </w:r>
      <w:proofErr w:type="spellStart"/>
      <w:r w:rsidRPr="0067064F">
        <w:rPr>
          <w:rFonts w:ascii="Times New Roman" w:hAnsi="Times New Roman" w:cs="Times New Roman"/>
          <w:sz w:val="28"/>
          <w:szCs w:val="28"/>
        </w:rPr>
        <w:t>резидентства</w:t>
      </w:r>
      <w:proofErr w:type="spellEnd"/>
      <w:r w:rsidRPr="0067064F">
        <w:rPr>
          <w:rFonts w:ascii="Times New Roman" w:hAnsi="Times New Roman" w:cs="Times New Roman"/>
          <w:sz w:val="28"/>
          <w:szCs w:val="28"/>
        </w:rPr>
        <w:t>, который определяется согласно Закону Республики Казахстан «О валютном регулировании и валютном контроле» и проставляется в следующем порядке:</w:t>
      </w:r>
    </w:p>
    <w:p w:rsidR="0067064F" w:rsidRPr="0067064F" w:rsidRDefault="0067064F" w:rsidP="0067064F">
      <w:pPr>
        <w:pStyle w:val="a9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«1» – резидент;</w:t>
      </w:r>
    </w:p>
    <w:p w:rsidR="0067064F" w:rsidRPr="0067064F" w:rsidRDefault="0067064F" w:rsidP="0067064F">
      <w:pPr>
        <w:pStyle w:val="a9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«2» – нерезидент.</w:t>
      </w:r>
    </w:p>
    <w:p w:rsidR="0067064F" w:rsidRPr="0067064F" w:rsidRDefault="0067064F" w:rsidP="0067064F">
      <w:pPr>
        <w:pStyle w:val="a9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2. В графах 2 и 8 формы указывается признак «1», если отправитель денег или бенефициар является юридическим лицом (филиалом юридического лица), или признак «2», если отправитель денег или бенефициар является физическим лицом.</w:t>
      </w:r>
    </w:p>
    <w:p w:rsidR="0067064F" w:rsidRPr="0067064F" w:rsidRDefault="0067064F" w:rsidP="0067064F">
      <w:pPr>
        <w:pStyle w:val="a9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3. В графах 3 и 9 формы указываются реквизиты отправителя денег или бенефициара по валютным операциям. Для физического лица указывается индивидуальный идентификационный номер, для юридического лица – бизнес-идентификационный номер.</w:t>
      </w:r>
    </w:p>
    <w:p w:rsidR="0067064F" w:rsidRPr="0067064F" w:rsidRDefault="0067064F" w:rsidP="0067064F">
      <w:pPr>
        <w:pStyle w:val="a9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4. В графах 4 и 10 формы указываются фамилия, имя, отчество (если оно указано в документе, удостоверяющем личность) либо наименование отправителя денег или бенефициара.</w:t>
      </w:r>
    </w:p>
    <w:p w:rsidR="0067064F" w:rsidRPr="0067064F" w:rsidRDefault="0067064F" w:rsidP="0067064F">
      <w:pPr>
        <w:pStyle w:val="a9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5. В графах 5 и 11 формы указывается двухзначный код страны регистрации отправителя денег, бенефициара в соответствии с национальным классификатором Республики Казахстан НК РК ISO 3166-1 «Коды для представления названий стран и единиц их административно-территориальных подразделений. Часть 1. Коды стран».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6. Графы 6 и 12 формы заполняются в соответствии с Правилами применения кодов секторов экономики и назначения платежей, утвержденными постановлением Правления Национального Банка Республики Казахстан  </w:t>
      </w:r>
      <w:r w:rsidRPr="0067064F">
        <w:rPr>
          <w:rFonts w:ascii="Times New Roman" w:hAnsi="Times New Roman" w:cs="Times New Roman"/>
          <w:sz w:val="28"/>
          <w:szCs w:val="28"/>
        </w:rPr>
        <w:br/>
        <w:t xml:space="preserve">от 31 августа 2016 года № 203 «Об утверждении Правил применения кодов секторов экономики и назначения платежей» (зарегистрировано в Реестре государственной регистрации нормативных правовых актов под № 14365) </w:t>
      </w:r>
      <w:r w:rsidRPr="0067064F">
        <w:rPr>
          <w:rFonts w:ascii="Times New Roman" w:hAnsi="Times New Roman" w:cs="Times New Roman"/>
          <w:sz w:val="28"/>
          <w:szCs w:val="28"/>
        </w:rPr>
        <w:br/>
        <w:t>(далее – Правила применения кодов секторов экономики и назначения платежей).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7. В графе 13 формы указывается дата платежа и (или) перевода денег путем указания восьми цифр в следующем порядке: день, месяц, год. 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8. В графе 14 формы указывается сумма платежа и (или) перевода денег в валюте путем указания их цифрами.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lastRenderedPageBreak/>
        <w:t>Если валюта платежа и (или) перевода денег отличается от доллара США, эквивалент суммы платежа и (или) перевода денег рассчитывается с использованием рыночного курса обмена валют на день проведения операции.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9. В графе 15 формы указывается трехзначный буквенный код валюты платежа (или) перевода денег в соответствии с национальным классификатором Республики Казахстан НК РК 07 ISO 4217 «Коды для обозначения валют и фондов».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10. В графе 16 формы указывается код назначения платежа и (или) перевода денег (при наличии), предусмотренный Правилами применения кодов секторов экономики и назначения платежей.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11. Графа 17 формы заполняется в соответствии с таблицей кодов валютных операций, являющейся Приложением к пояснению по заполнению формы «Сведения о валютной операции» Правил осуществления валютных операций в Республике Казахстан, утвержденных постановлением Правления Национального Банка Республики Казахстан от 30 марта 2019 года № 40   </w:t>
      </w:r>
      <w:r w:rsidRPr="0067064F">
        <w:rPr>
          <w:rFonts w:ascii="Times New Roman" w:hAnsi="Times New Roman" w:cs="Times New Roman"/>
          <w:sz w:val="28"/>
          <w:szCs w:val="28"/>
        </w:rPr>
        <w:br/>
        <w:t>(далее – Правила осуществления валютных операций).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12. Графа 18 формы заполняется в соответствии с пунктами 16-1 и 16-2 Правил осуществления валютных операций следующим образом: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«1.1» – финансовый заем, предусматривающий предоставление нерезидентом денег резиденту (за исключением банков второго уровня </w:t>
      </w:r>
      <w:r w:rsidRPr="0067064F">
        <w:rPr>
          <w:rFonts w:ascii="Times New Roman" w:hAnsi="Times New Roman" w:cs="Times New Roman"/>
          <w:sz w:val="28"/>
          <w:szCs w:val="28"/>
        </w:rPr>
        <w:br/>
        <w:t>(далее – БВУ)), если условиями соответствующего валютного договора (изначально либо после внесения изменений и (или) дополнений в валютный договор) не предусмотрено осуществление перевода денег, подлежащих получению от нерезидента, на банковские счета резидента в БВУ;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«1.2» – финансовый заем, предусматривающий возникновение у резидента (за исключением БВУ) требований к нерезиденту по возврату денег, если условиями соответствующего валютного договора (изначально либо после внесения изменений и (или) дополнений в валютный договор) не предусмотрено осуществление перевода денег, подлежащих получению от нерезидента, на банковские счета резидента в БВУ;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«1.3» – финансовый заем, предусматривающий предоставление резидентом денег нерезиденту, не являющемуся аффилированным лицом, если условиями соответствующего валютного договора (изначально либо после внесения изменений и (или) дополнений в валютный договор) не предусмотрена выплата вознаграждения за пользование предметом финансового займа;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«1.4» – операции по экспорту, если условиями соответствующего валютного договора (изначально либо после внесения изменений и (или) дополнений в валютный договор) предусмотрено, что срок исполнения обязательств нерезидентом по оплате экспорта превышает 720 (семьсот двадцать) дней с даты исполнения обязательств резидентом;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«1.5» – операции по импорту, если условиями соответствующего валютного договора (изначально либо после внесения изменений и (или) дополнений в валютный договор) предусмотрено, что срок исполнения обязательств </w:t>
      </w:r>
      <w:r w:rsidRPr="0067064F">
        <w:rPr>
          <w:rFonts w:ascii="Times New Roman" w:hAnsi="Times New Roman" w:cs="Times New Roman"/>
          <w:sz w:val="28"/>
          <w:szCs w:val="28"/>
        </w:rPr>
        <w:lastRenderedPageBreak/>
        <w:t>нерезидентом по поставке товаров (выполнению работ, оказанию услуг) или по возврату денег, включая авансовый платеж или сумму предоплаты в полном объеме (в случае неисполнения нерезидентом своих обязательств по импорту), превышает 720 (семьсот двадцать) дней с даты исполнения обязательств резидентом;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«1.6» – перевод денег резидентом нерезиденту-профессиональному участнику рынка ценных бумаг, осуществляющему валютные операции по поручениям клиентов, на сумму, превышающую пятьдесят тысяч долларов США в эквиваленте;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«1.7» – перевод резидентом денег на собственный счет за рубежом на сумму, превышающую пятьдесят тысяч долларов США в эквиваленте;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«1.8» – безвозмездный перевод денег, осуществляемый резидентом в пользу нерезидента на сумму, превышающую пятьдесят тысяч долларов США в эквиваленте;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«2» – платежи и (или) переводы денег одного лица за календарный месяц по двум или более валютным договорам, заключенным с одним и тем же нерезидентом, на общую сумму, превышающую пороговое значение, свыше которого такие валютные договоры подлежат присвоению учетного номера;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«0» – в остальных случаях. </w:t>
      </w:r>
    </w:p>
    <w:p w:rsidR="0067064F" w:rsidRPr="0067064F" w:rsidRDefault="0067064F" w:rsidP="0067064F">
      <w:pPr>
        <w:pStyle w:val="a9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 xml:space="preserve">13. В графах 19 и 20 формы указывается идентификационный код и наименование организации (банка) контрагента по валютной операции </w:t>
      </w:r>
      <w:r w:rsidRPr="0067064F">
        <w:rPr>
          <w:rFonts w:ascii="Times New Roman" w:hAnsi="Times New Roman" w:cs="Times New Roman"/>
          <w:sz w:val="28"/>
          <w:szCs w:val="28"/>
        </w:rPr>
        <w:br/>
        <w:t>– организации (банке) отправителя денег для полученных платежей и (или) переводов денег, организации (банке) бенефициара для отправленных платежей и (или) переводов денег. По внутрибанковским валютным операциям указывается информация об отчитывающемся Банке Международного финансового центра «Астана» и (или) банки второго уровня. При отсутствии в документах, на основании которых проводится платеж и (или) перевод денег, информации об организации (банке) отправителя денег, часть 5 не заполняется.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14. В графах 21 и 22 формы указываются номер и дата валютного договора, по которому проведен платеж и (или) перевод денег по валютным операциям.</w:t>
      </w:r>
    </w:p>
    <w:p w:rsidR="0067064F" w:rsidRPr="0067064F" w:rsidRDefault="0067064F" w:rsidP="0067064F">
      <w:pPr>
        <w:pStyle w:val="a9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64F">
        <w:rPr>
          <w:rFonts w:ascii="Times New Roman" w:hAnsi="Times New Roman" w:cs="Times New Roman"/>
          <w:sz w:val="28"/>
          <w:szCs w:val="28"/>
        </w:rPr>
        <w:t>15. В графе 23 формы указывается учетный номер валютного договора.</w:t>
      </w:r>
    </w:p>
    <w:p w:rsidR="0067064F" w:rsidRPr="0067064F" w:rsidRDefault="0067064F" w:rsidP="0067064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67064F" w:rsidRPr="0067064F" w:rsidRDefault="0067064F" w:rsidP="0067064F">
      <w:pPr>
        <w:pStyle w:val="a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7064F" w:rsidRPr="0067064F" w:rsidRDefault="0067064F" w:rsidP="0067064F">
      <w:pPr>
        <w:pStyle w:val="a9"/>
        <w:ind w:left="5664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7596B" w:rsidRPr="0067064F" w:rsidRDefault="0007596B">
      <w:pPr>
        <w:rPr>
          <w:sz w:val="28"/>
          <w:szCs w:val="28"/>
          <w:lang w:val="ru-RU"/>
        </w:rPr>
      </w:pPr>
    </w:p>
    <w:sectPr w:rsidR="0007596B" w:rsidRPr="0067064F" w:rsidSect="0067064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89F" w:rsidRDefault="00DB089F" w:rsidP="0067064F">
      <w:pPr>
        <w:spacing w:after="0" w:line="240" w:lineRule="auto"/>
      </w:pPr>
      <w:r>
        <w:separator/>
      </w:r>
    </w:p>
  </w:endnote>
  <w:endnote w:type="continuationSeparator" w:id="0">
    <w:p w:rsidR="00DB089F" w:rsidRDefault="00DB089F" w:rsidP="00670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89F" w:rsidRDefault="00DB089F" w:rsidP="0067064F">
      <w:pPr>
        <w:spacing w:after="0" w:line="240" w:lineRule="auto"/>
      </w:pPr>
      <w:r>
        <w:separator/>
      </w:r>
    </w:p>
  </w:footnote>
  <w:footnote w:type="continuationSeparator" w:id="0">
    <w:p w:rsidR="00DB089F" w:rsidRDefault="00DB089F" w:rsidP="00670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4F" w:rsidRDefault="0067064F">
    <w:pPr>
      <w:pStyle w:val="a3"/>
      <w:jc w:val="center"/>
      <w:rPr>
        <w:sz w:val="28"/>
        <w:szCs w:val="28"/>
      </w:rPr>
    </w:pPr>
  </w:p>
  <w:p w:rsidR="00D3690E" w:rsidRDefault="00DB089F">
    <w:pPr>
      <w:pStyle w:val="a3"/>
      <w:jc w:val="center"/>
      <w:rPr>
        <w:sz w:val="28"/>
        <w:szCs w:val="28"/>
      </w:rPr>
    </w:pPr>
    <w:sdt>
      <w:sdtPr>
        <w:rPr>
          <w:sz w:val="28"/>
          <w:szCs w:val="28"/>
        </w:rPr>
        <w:id w:val="-1701007295"/>
        <w:docPartObj>
          <w:docPartGallery w:val="AutoText"/>
        </w:docPartObj>
      </w:sdtPr>
      <w:sdtEndPr/>
      <w:sdtContent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67064F" w:rsidRPr="0067064F">
          <w:rPr>
            <w:noProof/>
            <w:sz w:val="28"/>
            <w:szCs w:val="28"/>
            <w:lang w:val="ru-RU"/>
          </w:rPr>
          <w:t>16</w:t>
        </w:r>
        <w:r>
          <w:rPr>
            <w:sz w:val="28"/>
            <w:szCs w:val="28"/>
          </w:rPr>
          <w:fldChar w:fldCharType="end"/>
        </w:r>
      </w:sdtContent>
    </w:sdt>
  </w:p>
  <w:p w:rsidR="0067064F" w:rsidRDefault="0067064F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90E" w:rsidRDefault="00DB089F">
    <w:pPr>
      <w:pStyle w:val="a3"/>
      <w:jc w:val="center"/>
    </w:pPr>
  </w:p>
  <w:p w:rsidR="00D3690E" w:rsidRDefault="00DB089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94"/>
    <w:rsid w:val="0007596B"/>
    <w:rsid w:val="00240D94"/>
    <w:rsid w:val="0067064F"/>
    <w:rsid w:val="00DB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C269"/>
  <w15:chartTrackingRefBased/>
  <w15:docId w15:val="{25E291C1-8159-46C1-9FC6-534DAD4E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64F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64F"/>
    <w:rPr>
      <w:rFonts w:ascii="Times New Roman" w:eastAsia="Times New Roman" w:hAnsi="Times New Roman" w:cs="Times New Roman"/>
      <w:lang w:val="en-US"/>
    </w:rPr>
  </w:style>
  <w:style w:type="character" w:customStyle="1" w:styleId="3">
    <w:name w:val="Основной текст (3)_"/>
    <w:basedOn w:val="a0"/>
    <w:link w:val="30"/>
    <w:rsid w:val="0067064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7064F"/>
    <w:pPr>
      <w:widowControl w:val="0"/>
      <w:shd w:val="clear" w:color="auto" w:fill="FFFFFF"/>
      <w:spacing w:before="900" w:after="0" w:line="320" w:lineRule="exact"/>
      <w:jc w:val="center"/>
    </w:pPr>
    <w:rPr>
      <w:b/>
      <w:bCs/>
      <w:sz w:val="28"/>
      <w:szCs w:val="28"/>
      <w:lang w:val="ru-RU"/>
    </w:rPr>
  </w:style>
  <w:style w:type="character" w:customStyle="1" w:styleId="2">
    <w:name w:val="Основной текст (2)_"/>
    <w:basedOn w:val="a0"/>
    <w:link w:val="20"/>
    <w:rsid w:val="006706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064F"/>
    <w:pPr>
      <w:widowControl w:val="0"/>
      <w:shd w:val="clear" w:color="auto" w:fill="FFFFFF"/>
      <w:spacing w:after="0" w:line="320" w:lineRule="exact"/>
    </w:pPr>
    <w:rPr>
      <w:sz w:val="28"/>
      <w:szCs w:val="28"/>
      <w:lang w:val="ru-RU"/>
    </w:rPr>
  </w:style>
  <w:style w:type="character" w:customStyle="1" w:styleId="211pt">
    <w:name w:val="Основной текст (2) + 11 pt"/>
    <w:basedOn w:val="2"/>
    <w:rsid w:val="0067064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67064F"/>
    <w:rPr>
      <w:color w:val="000000"/>
    </w:rPr>
  </w:style>
  <w:style w:type="paragraph" w:styleId="a5">
    <w:name w:val="footer"/>
    <w:basedOn w:val="a"/>
    <w:link w:val="a6"/>
    <w:uiPriority w:val="99"/>
    <w:unhideWhenUsed/>
    <w:rsid w:val="0067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64F"/>
    <w:rPr>
      <w:rFonts w:ascii="Times New Roman" w:eastAsia="Times New Roman" w:hAnsi="Times New Roman" w:cs="Times New Roman"/>
      <w:lang w:val="en-US"/>
    </w:rPr>
  </w:style>
  <w:style w:type="character" w:customStyle="1" w:styleId="a7">
    <w:name w:val="Подпись к таблице_"/>
    <w:basedOn w:val="a0"/>
    <w:link w:val="a8"/>
    <w:rsid w:val="0067064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67064F"/>
    <w:pPr>
      <w:widowControl w:val="0"/>
      <w:shd w:val="clear" w:color="auto" w:fill="FFFFFF"/>
      <w:spacing w:after="0" w:line="0" w:lineRule="atLeast"/>
    </w:pPr>
    <w:rPr>
      <w:sz w:val="28"/>
      <w:szCs w:val="28"/>
      <w:lang w:val="ru-RU"/>
    </w:rPr>
  </w:style>
  <w:style w:type="paragraph" w:styleId="a9">
    <w:name w:val="No Spacing"/>
    <w:uiPriority w:val="1"/>
    <w:qFormat/>
    <w:rsid w:val="00670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3668</Words>
  <Characters>20911</Characters>
  <Application>Microsoft Office Word</Application>
  <DocSecurity>0</DocSecurity>
  <Lines>174</Lines>
  <Paragraphs>49</Paragraphs>
  <ScaleCrop>false</ScaleCrop>
  <Company/>
  <LinksUpToDate>false</LinksUpToDate>
  <CharactersWithSpaces>24530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Мүрсатов Жомартұлы</dc:creator>
  <cp:keywords/>
  <dc:description/>
  <cp:lastModifiedBy>Азамат Мүрсатов Жомартұлы</cp:lastModifiedBy>
  <cp:revision>2</cp:revision>
  <dcterms:created xsi:type="dcterms:W3CDTF">2025-12-04T12:30:00Z</dcterms:created>
  <dcterms:modified xsi:type="dcterms:W3CDTF">2025-12-04T12:37:00Z</dcterms:modified>
</cp:coreProperties>
</file>